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9B" w:rsidRPr="002D0DC5" w:rsidRDefault="009F079B" w:rsidP="009F079B">
      <w:r>
        <w:t xml:space="preserve">Investuotojų </w:t>
      </w:r>
      <w:bookmarkStart w:id="0" w:name="_GoBack"/>
      <w:bookmarkEnd w:id="0"/>
      <w:r w:rsidRPr="002D0DC5">
        <w:t xml:space="preserve">atrankos kriterijai: </w:t>
      </w:r>
    </w:p>
    <w:p w:rsidR="009F079B" w:rsidRPr="002D0DC5" w:rsidRDefault="009F079B" w:rsidP="009F079B">
      <w:pPr>
        <w:numPr>
          <w:ilvl w:val="0"/>
          <w:numId w:val="1"/>
        </w:numPr>
        <w:spacing w:line="276" w:lineRule="auto"/>
        <w:ind w:left="714" w:hanging="357"/>
        <w:jc w:val="both"/>
      </w:pPr>
      <w:r w:rsidRPr="002D0DC5">
        <w:t>Investuotojo veikla, kurią jis planuoja vystyti Teritorijoje, turi atitikti Sumaniosios specializacijos prioritetų įgyvendinimo programos</w:t>
      </w:r>
      <w:r w:rsidRPr="002D0DC5">
        <w:rPr>
          <w:vertAlign w:val="superscript"/>
        </w:rPr>
        <w:footnoteRef/>
      </w:r>
      <w:r w:rsidRPr="002D0DC5">
        <w:t xml:space="preserve">, nuostatas ir bent vieno konkretaus prioriteto </w:t>
      </w:r>
      <w:r>
        <w:t xml:space="preserve">bent vieną įgyvendinimo </w:t>
      </w:r>
      <w:r w:rsidRPr="002D0DC5">
        <w:t>tem</w:t>
      </w:r>
      <w:r>
        <w:t>atik</w:t>
      </w:r>
      <w:r w:rsidRPr="002D0DC5">
        <w:t xml:space="preserve">ą. </w:t>
      </w:r>
    </w:p>
    <w:p w:rsidR="009F079B" w:rsidRPr="002D0DC5" w:rsidRDefault="009F079B" w:rsidP="009F079B">
      <w:pPr>
        <w:numPr>
          <w:ilvl w:val="0"/>
          <w:numId w:val="1"/>
        </w:numPr>
        <w:spacing w:line="276" w:lineRule="auto"/>
        <w:ind w:left="714" w:hanging="357"/>
        <w:jc w:val="both"/>
      </w:pPr>
      <w:r w:rsidRPr="002D0DC5">
        <w:t xml:space="preserve">Jeigu investuotojas yra mokslo ir studijų institucija, Teritorijoje ji turi vystyti bent vieną iš žemiau įvardintų veiklų: </w:t>
      </w:r>
    </w:p>
    <w:p w:rsidR="009F079B" w:rsidRPr="002D0DC5" w:rsidRDefault="009F079B" w:rsidP="009F079B">
      <w:pPr>
        <w:numPr>
          <w:ilvl w:val="1"/>
          <w:numId w:val="1"/>
        </w:numPr>
        <w:spacing w:line="276" w:lineRule="auto"/>
        <w:jc w:val="both"/>
      </w:pPr>
      <w:r w:rsidRPr="002D0DC5">
        <w:t>Mokslo ir studijų institucija bendradarbiaujant su inovacinėmis įmonėmis norėtų įsteigti filialą ar biurą Vilniuje, kad galėtų konsoliduoti veiklas su kitomis mokslo ir studijų institucijomis siekiant pritraukti papildomai studentų iš įmonių;</w:t>
      </w:r>
    </w:p>
    <w:p w:rsidR="009F079B" w:rsidRPr="002D0DC5" w:rsidRDefault="009F079B" w:rsidP="009F079B">
      <w:pPr>
        <w:numPr>
          <w:ilvl w:val="1"/>
          <w:numId w:val="1"/>
        </w:numPr>
        <w:spacing w:line="276" w:lineRule="auto"/>
        <w:jc w:val="both"/>
      </w:pPr>
      <w:r w:rsidRPr="002D0DC5">
        <w:t xml:space="preserve">Mokslo ir studijų institucija bendradarbiaujant su konsultacinėmis įmonėmis norėtų įsitraukti į verslo-mokslo projektus tam, kad pritraukti papildomai lėšų mokslininkų ir tyrėjų darbo užmokesčiui pakelti, didinant paskatas vykdyti mokslinius tyrimus ir plečiant žmogiškuosius išteklius; </w:t>
      </w:r>
    </w:p>
    <w:p w:rsidR="009F079B" w:rsidRPr="002D0DC5" w:rsidRDefault="009F079B" w:rsidP="009F079B">
      <w:pPr>
        <w:numPr>
          <w:ilvl w:val="1"/>
          <w:numId w:val="1"/>
        </w:numPr>
        <w:spacing w:line="276" w:lineRule="auto"/>
        <w:jc w:val="both"/>
      </w:pPr>
      <w:r w:rsidRPr="002D0DC5">
        <w:t>Mokslo ir studijų institucija bendradarbiaujant su tarptautinėmis įmonėmis nori plėsti tarptautines programas tam, kad galėtų išplėsti pasiūlą, tuo pačiu padidinant studijų kokybę, prisitraukiant studentų ir dėstytojų iš užsienio.</w:t>
      </w:r>
    </w:p>
    <w:p w:rsidR="009F079B" w:rsidRPr="002D0DC5" w:rsidRDefault="009F079B" w:rsidP="009F079B">
      <w:pPr>
        <w:numPr>
          <w:ilvl w:val="0"/>
          <w:numId w:val="1"/>
        </w:numPr>
        <w:spacing w:line="276" w:lineRule="auto"/>
        <w:jc w:val="both"/>
      </w:pPr>
      <w:r w:rsidRPr="002D0DC5">
        <w:t>Investuotojo, kuris yra juridinis asmuo, vykdantis MTEPI veiklas, įmonė neturi apribojimų savo veiklai.</w:t>
      </w:r>
    </w:p>
    <w:p w:rsidR="009F079B" w:rsidRPr="002D0DC5" w:rsidRDefault="009F079B" w:rsidP="009F079B">
      <w:pPr>
        <w:numPr>
          <w:ilvl w:val="0"/>
          <w:numId w:val="1"/>
        </w:numPr>
        <w:spacing w:line="276" w:lineRule="auto"/>
        <w:jc w:val="both"/>
      </w:pPr>
      <w:r w:rsidRPr="002D0DC5">
        <w:rPr>
          <w:rFonts w:eastAsia="Times New Roman"/>
          <w:lang w:eastAsia="lt-LT"/>
        </w:rPr>
        <w:t xml:space="preserve">Investuotojas, </w:t>
      </w:r>
      <w:r w:rsidRPr="002D0DC5">
        <w:t>kuris yra juridinis asmuo, vykdantis MTEPI veiklas,</w:t>
      </w:r>
      <w:r w:rsidRPr="002D0DC5">
        <w:rPr>
          <w:rFonts w:eastAsia="Times New Roman"/>
          <w:lang w:eastAsia="lt-LT"/>
        </w:rPr>
        <w:t xml:space="preserve"> turi teisinį pagrindą užsiimti ta veikla, kurią ketina pradėti ir (arba) vykdyti Teritorijoje (taikoma tik jeigu LR teisės aktuose yra nustatytas reikalavimas turėti tokį teisinį pagrindą).</w:t>
      </w:r>
    </w:p>
    <w:p w:rsidR="009F079B" w:rsidRPr="002D0DC5" w:rsidRDefault="009F079B" w:rsidP="009F079B">
      <w:pPr>
        <w:numPr>
          <w:ilvl w:val="0"/>
          <w:numId w:val="1"/>
        </w:numPr>
        <w:spacing w:line="276" w:lineRule="auto"/>
        <w:jc w:val="both"/>
      </w:pPr>
      <w:r w:rsidRPr="002D0DC5">
        <w:t>Investuotojas, kuris yra juridinis asmuo, vykdantis MTEPI veiklas,</w:t>
      </w:r>
      <w:r w:rsidRPr="002D0DC5">
        <w:rPr>
          <w:rFonts w:eastAsia="Times New Roman"/>
          <w:lang w:eastAsia="lt-LT"/>
        </w:rPr>
        <w:t xml:space="preserve"> atitinka nustatytus ekonominės ir finansinės būklės reikalavimus:</w:t>
      </w:r>
    </w:p>
    <w:p w:rsidR="009F079B" w:rsidRPr="002D0DC5" w:rsidRDefault="009F079B" w:rsidP="009F079B">
      <w:pPr>
        <w:numPr>
          <w:ilvl w:val="1"/>
          <w:numId w:val="1"/>
        </w:numPr>
        <w:spacing w:line="276" w:lineRule="auto"/>
        <w:jc w:val="both"/>
      </w:pPr>
      <w:r w:rsidRPr="002D0DC5">
        <w:rPr>
          <w:rFonts w:eastAsia="Times New Roman"/>
          <w:lang w:eastAsia="lt-LT"/>
        </w:rPr>
        <w:t xml:space="preserve">Vidutinės metinės pajamos </w:t>
      </w:r>
      <w:r w:rsidRPr="00586C63">
        <w:rPr>
          <w:rFonts w:eastAsia="Times New Roman"/>
          <w:lang w:eastAsia="lt-LT"/>
        </w:rPr>
        <w:t>(įskaitant investuotojo įmonių grupės pajamas)</w:t>
      </w:r>
      <w:r>
        <w:rPr>
          <w:rFonts w:eastAsia="Times New Roman"/>
          <w:lang w:eastAsia="lt-LT"/>
        </w:rPr>
        <w:t xml:space="preserve"> </w:t>
      </w:r>
      <w:r w:rsidRPr="002D0DC5">
        <w:rPr>
          <w:rFonts w:eastAsia="Times New Roman"/>
          <w:lang w:eastAsia="lt-LT"/>
        </w:rPr>
        <w:t>per paskutinius 3 finansinius metus yra ne mažesnės kaip 200,000 €, o investicijos į MTEPI sritį per šį laikotarpį bent vienais finansiniais metais sudarė ne mažiau nei 1 procentą vidutinių metinių pajamų.</w:t>
      </w:r>
    </w:p>
    <w:p w:rsidR="009F079B" w:rsidRPr="002D0DC5" w:rsidRDefault="009F079B" w:rsidP="009F079B">
      <w:pPr>
        <w:numPr>
          <w:ilvl w:val="1"/>
          <w:numId w:val="1"/>
        </w:numPr>
        <w:spacing w:line="276" w:lineRule="auto"/>
        <w:jc w:val="both"/>
      </w:pPr>
      <w:r w:rsidRPr="002D0DC5">
        <w:rPr>
          <w:rFonts w:eastAsia="Times New Roman"/>
          <w:lang w:eastAsia="lt-LT"/>
        </w:rPr>
        <w:t>Investuotojas nėra sunkumų patirianti įmonė.</w:t>
      </w:r>
    </w:p>
    <w:p w:rsidR="009F079B" w:rsidRPr="002D0DC5" w:rsidRDefault="009F079B" w:rsidP="009F079B">
      <w:pPr>
        <w:numPr>
          <w:ilvl w:val="0"/>
          <w:numId w:val="1"/>
        </w:numPr>
        <w:spacing w:line="276" w:lineRule="auto"/>
        <w:contextualSpacing/>
        <w:jc w:val="both"/>
      </w:pPr>
      <w:r w:rsidRPr="002D0DC5">
        <w:t xml:space="preserve">Savo veikla prisideda prie LR Vyriausybės 2015 m. gruodžio 23 d. nutarimu Nr. 1411 numatytų Teritorijos vystymo 6.8. </w:t>
      </w:r>
      <w:r w:rsidRPr="002D0DC5">
        <w:rPr>
          <w:i/>
        </w:rPr>
        <w:t>ir</w:t>
      </w:r>
      <w:r w:rsidRPr="002D0DC5">
        <w:t xml:space="preserve"> 6.1. </w:t>
      </w:r>
      <w:r w:rsidRPr="002D0DC5">
        <w:rPr>
          <w:i/>
        </w:rPr>
        <w:t>ir/arba</w:t>
      </w:r>
      <w:r w:rsidRPr="002D0DC5">
        <w:t xml:space="preserve"> 6.2. </w:t>
      </w:r>
      <w:r w:rsidRPr="002D0DC5">
        <w:rPr>
          <w:i/>
        </w:rPr>
        <w:t>ir/arba</w:t>
      </w:r>
      <w:r w:rsidRPr="002D0DC5">
        <w:t xml:space="preserve"> 6.3. rodiklių pasiekimo: </w:t>
      </w:r>
    </w:p>
    <w:p w:rsidR="009F079B" w:rsidRPr="002D0DC5" w:rsidRDefault="009F079B" w:rsidP="009F079B">
      <w:pPr>
        <w:numPr>
          <w:ilvl w:val="1"/>
          <w:numId w:val="2"/>
        </w:numPr>
        <w:spacing w:line="276" w:lineRule="auto"/>
        <w:ind w:left="1418" w:hanging="567"/>
        <w:jc w:val="both"/>
        <w:rPr>
          <w:rFonts w:eastAsia="Times New Roman"/>
          <w:lang w:eastAsia="lt-LT"/>
        </w:rPr>
      </w:pPr>
      <w:r w:rsidRPr="002D0DC5">
        <w:rPr>
          <w:rFonts w:eastAsia="Times New Roman"/>
          <w:lang w:eastAsia="lt-LT"/>
        </w:rPr>
        <w:t>pasiekta Teritorijos investicinė vertė – 7,253,362 eurai;</w:t>
      </w:r>
    </w:p>
    <w:p w:rsidR="009F079B" w:rsidRPr="002D0DC5" w:rsidRDefault="009F079B" w:rsidP="009F079B">
      <w:pPr>
        <w:numPr>
          <w:ilvl w:val="1"/>
          <w:numId w:val="2"/>
        </w:numPr>
        <w:spacing w:line="276" w:lineRule="auto"/>
        <w:ind w:left="1418" w:hanging="567"/>
        <w:jc w:val="both"/>
        <w:rPr>
          <w:rFonts w:eastAsia="Times New Roman"/>
          <w:lang w:eastAsia="lt-LT"/>
        </w:rPr>
      </w:pPr>
      <w:r w:rsidRPr="002D0DC5">
        <w:rPr>
          <w:rFonts w:eastAsia="Times New Roman"/>
          <w:lang w:eastAsia="lt-LT"/>
        </w:rPr>
        <w:t>įkurti ne mažiau kaip 6 klasteriai;</w:t>
      </w:r>
    </w:p>
    <w:p w:rsidR="009F079B" w:rsidRPr="002D0DC5" w:rsidRDefault="009F079B" w:rsidP="009F079B">
      <w:pPr>
        <w:numPr>
          <w:ilvl w:val="1"/>
          <w:numId w:val="2"/>
        </w:numPr>
        <w:spacing w:line="276" w:lineRule="auto"/>
        <w:ind w:left="1418" w:hanging="567"/>
        <w:jc w:val="both"/>
        <w:rPr>
          <w:rFonts w:eastAsia="Times New Roman"/>
          <w:lang w:eastAsia="lt-LT"/>
        </w:rPr>
      </w:pPr>
      <w:r w:rsidRPr="002D0DC5">
        <w:rPr>
          <w:rFonts w:eastAsia="Times New Roman"/>
          <w:lang w:eastAsia="lt-LT"/>
        </w:rPr>
        <w:t>sukurta ne mažiau kaip 1,000 naujų darbo vietų;</w:t>
      </w:r>
    </w:p>
    <w:p w:rsidR="009F079B" w:rsidRPr="002D0DC5" w:rsidRDefault="009F079B" w:rsidP="009F079B">
      <w:pPr>
        <w:numPr>
          <w:ilvl w:val="1"/>
          <w:numId w:val="2"/>
        </w:numPr>
        <w:spacing w:line="276" w:lineRule="auto"/>
        <w:ind w:left="1418" w:hanging="567"/>
        <w:jc w:val="both"/>
        <w:rPr>
          <w:rFonts w:eastAsia="Times New Roman"/>
          <w:lang w:eastAsia="lt-LT"/>
        </w:rPr>
      </w:pPr>
      <w:r w:rsidRPr="002D0DC5">
        <w:rPr>
          <w:rFonts w:eastAsia="Times New Roman"/>
          <w:lang w:eastAsia="lt-LT"/>
        </w:rPr>
        <w:t>pritraukta ne mažiau kaip 20 inovatyvių smulkiojo ir vidutinio verslo įmonių;</w:t>
      </w:r>
    </w:p>
    <w:p w:rsidR="009F079B" w:rsidRPr="002D0DC5" w:rsidRDefault="009F079B" w:rsidP="009F079B">
      <w:pPr>
        <w:numPr>
          <w:ilvl w:val="1"/>
          <w:numId w:val="2"/>
        </w:numPr>
        <w:spacing w:line="276" w:lineRule="auto"/>
        <w:ind w:left="1418" w:hanging="567"/>
        <w:jc w:val="both"/>
        <w:rPr>
          <w:rFonts w:eastAsia="Times New Roman"/>
          <w:lang w:eastAsia="lt-LT"/>
        </w:rPr>
      </w:pPr>
      <w:r w:rsidRPr="002D0DC5">
        <w:rPr>
          <w:rFonts w:eastAsia="Times New Roman"/>
          <w:lang w:eastAsia="lt-LT"/>
        </w:rPr>
        <w:t>įkurtos 2 mokslo ir studijų institucijos arba jų filialai;</w:t>
      </w:r>
    </w:p>
    <w:p w:rsidR="009F079B" w:rsidRPr="002D0DC5" w:rsidRDefault="009F079B" w:rsidP="009F079B">
      <w:pPr>
        <w:numPr>
          <w:ilvl w:val="1"/>
          <w:numId w:val="2"/>
        </w:numPr>
        <w:spacing w:line="276" w:lineRule="auto"/>
        <w:ind w:left="1418" w:hanging="567"/>
        <w:jc w:val="both"/>
        <w:rPr>
          <w:rFonts w:eastAsia="Times New Roman"/>
          <w:lang w:eastAsia="lt-LT"/>
        </w:rPr>
      </w:pPr>
      <w:r w:rsidRPr="002D0DC5">
        <w:rPr>
          <w:rFonts w:eastAsia="Times New Roman"/>
          <w:lang w:eastAsia="lt-LT"/>
        </w:rPr>
        <w:t>įrengtas 2,000 kv. metrų verslo inkubatorius;</w:t>
      </w:r>
    </w:p>
    <w:p w:rsidR="009F079B" w:rsidRPr="002D0DC5" w:rsidRDefault="009F079B" w:rsidP="009F079B">
      <w:pPr>
        <w:numPr>
          <w:ilvl w:val="1"/>
          <w:numId w:val="2"/>
        </w:numPr>
        <w:spacing w:line="276" w:lineRule="auto"/>
        <w:ind w:left="1418" w:hanging="567"/>
        <w:jc w:val="both"/>
        <w:rPr>
          <w:rFonts w:eastAsia="Times New Roman"/>
          <w:lang w:eastAsia="lt-LT"/>
        </w:rPr>
      </w:pPr>
      <w:r w:rsidRPr="002D0DC5">
        <w:rPr>
          <w:rFonts w:eastAsia="Times New Roman"/>
          <w:lang w:eastAsia="lt-LT"/>
        </w:rPr>
        <w:t>paruošti ir įrengti 3 hektarų ir 1 000 kv. metrų viešųjų erdvių plotai;</w:t>
      </w:r>
    </w:p>
    <w:p w:rsidR="009F079B" w:rsidRPr="002D0DC5" w:rsidRDefault="009F079B" w:rsidP="009F079B">
      <w:pPr>
        <w:numPr>
          <w:ilvl w:val="1"/>
          <w:numId w:val="2"/>
        </w:numPr>
        <w:spacing w:line="276" w:lineRule="auto"/>
        <w:ind w:left="1418" w:hanging="567"/>
        <w:jc w:val="both"/>
        <w:rPr>
          <w:rFonts w:eastAsia="Times New Roman"/>
          <w:lang w:eastAsia="lt-LT"/>
        </w:rPr>
      </w:pPr>
      <w:r w:rsidRPr="002D0DC5">
        <w:rPr>
          <w:rFonts w:eastAsia="Times New Roman"/>
          <w:lang w:eastAsia="lt-LT"/>
        </w:rPr>
        <w:lastRenderedPageBreak/>
        <w:t>išvystyti 2–3 nauji inovatyvūs produktai, technologijos ar gauti patentai, atitinkantys tarptautinį lygį.</w:t>
      </w:r>
    </w:p>
    <w:p w:rsidR="003E681A" w:rsidRDefault="009F079B" w:rsidP="009F079B">
      <w:r w:rsidRPr="002D0DC5">
        <w:t>Veikla atitinka Teritorijos galimybes ir tikslus, turi savarankiško vystymosi ir plėtros galimybių, t. y. Investuotojas turi įgyvendinamą verslo planą.</w:t>
      </w:r>
    </w:p>
    <w:sectPr w:rsidR="003E6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291F"/>
    <w:multiLevelType w:val="hybridMultilevel"/>
    <w:tmpl w:val="47BC4CB4"/>
    <w:lvl w:ilvl="0" w:tplc="EEF61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73C85"/>
    <w:multiLevelType w:val="multilevel"/>
    <w:tmpl w:val="CF42C6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9B"/>
    <w:rsid w:val="003E681A"/>
    <w:rsid w:val="009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095BD-212D-4EA6-8743-F1F50FA7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9B"/>
    <w:pPr>
      <w:spacing w:after="0" w:line="240" w:lineRule="auto"/>
    </w:pPr>
    <w:rPr>
      <w:rFonts w:ascii="Calibri" w:eastAsia="Calibri" w:hAnsi="Calibri" w:cs="Calibri"/>
      <w:sz w:val="24"/>
      <w:szCs w:val="24"/>
      <w:lang w:val="lt-L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Palionyte</dc:creator>
  <cp:keywords/>
  <dc:description/>
  <cp:lastModifiedBy>Monika Palionyte</cp:lastModifiedBy>
  <cp:revision>1</cp:revision>
  <dcterms:created xsi:type="dcterms:W3CDTF">2020-09-25T16:27:00Z</dcterms:created>
  <dcterms:modified xsi:type="dcterms:W3CDTF">2020-09-25T16:27:00Z</dcterms:modified>
</cp:coreProperties>
</file>